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34.0" w:type="dxa"/>
        <w:jc w:val="center"/>
        <w:tblBorders>
          <w:insideV w:color="ed7d31" w:space="0" w:sz="12" w:val="single"/>
        </w:tblBorders>
        <w:tblLayout w:type="fixed"/>
        <w:tblLook w:val="0400"/>
      </w:tblPr>
      <w:tblGrid>
        <w:gridCol w:w="8132"/>
        <w:gridCol w:w="7702"/>
        <w:tblGridChange w:id="0">
          <w:tblGrid>
            <w:gridCol w:w="8132"/>
            <w:gridCol w:w="7702"/>
          </w:tblGrid>
        </w:tblGridChange>
      </w:tblGrid>
      <w:tr>
        <w:tc>
          <w:tcPr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1">
            <w:pPr>
              <w:contextualSpacing w:val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3065006" cy="3831336"/>
                  <wp:effectExtent b="0" l="0" r="0" t="0"/>
                  <wp:docPr descr="Image illustrant une route sinueuse et des arbres" id="1" name="image2.jpg"/>
                  <a:graphic>
                    <a:graphicData uri="http://schemas.openxmlformats.org/drawingml/2006/picture">
                      <pic:pic>
                        <pic:nvPicPr>
                          <pic:cNvPr descr="Image illustrant une route sinueuse et des arbres"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006" cy="38313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right="0" w:firstLine="0"/>
              <w:contextualSpacing w:val="0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color w:val="ff0000"/>
                <w:sz w:val="44"/>
                <w:szCs w:val="4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contextualSpacing w:val="0"/>
              <w:jc w:val="center"/>
              <w:rPr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color w:val="000000"/>
                <w:sz w:val="36"/>
                <w:szCs w:val="36"/>
                <w:rtl w:val="0"/>
              </w:rPr>
              <w:t xml:space="preserve">Les cours sont tous dispensés par un titulaire du Titre Professionnel E.C.S.R ou du B.E.P.E.CA.S.E.R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4546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contextualSpacing w:val="0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40"/>
          <w:szCs w:val="40"/>
          <w:rtl w:val="0"/>
        </w:rPr>
        <w:t xml:space="preserve">ECOLE DE CONDUITE </w:t>
      </w:r>
      <w:r w:rsidDel="00000000" w:rsidR="00000000" w:rsidRPr="00000000">
        <w:rPr>
          <w:rtl w:val="0"/>
        </w:rPr>
      </w:r>
    </w:p>
    <w:tbl>
      <w:tblPr>
        <w:tblStyle w:val="Table2"/>
        <w:tblW w:w="148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02"/>
        <w:gridCol w:w="3703"/>
        <w:gridCol w:w="2938"/>
        <w:gridCol w:w="4468"/>
        <w:tblGridChange w:id="0">
          <w:tblGrid>
            <w:gridCol w:w="3702"/>
            <w:gridCol w:w="3703"/>
            <w:gridCol w:w="2938"/>
            <w:gridCol w:w="4468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HORAIRES COLLECTIFS DES COURS THEORIQUES (Les grands thèmes S.R)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Jours de la semaine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Horaire de Début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Horaire de Fin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Contenus</w:t>
            </w:r>
          </w:p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Lundi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17h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19h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2"/>
                <w:szCs w:val="32"/>
                <w:rtl w:val="0"/>
              </w:rPr>
              <w:t xml:space="preserve">Tests Code de la route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Mardi</w:t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Mercredi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hd w:fill="ffffff" w:val="clear"/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14 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16 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2"/>
                <w:szCs w:val="32"/>
                <w:rtl w:val="0"/>
              </w:rPr>
              <w:t xml:space="preserve">Accidentologie </w:t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2"/>
                <w:szCs w:val="32"/>
                <w:rtl w:val="0"/>
              </w:rPr>
              <w:t xml:space="preserve">Etude de cas et analyse de la réglementation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Jeudi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Vendredi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17 h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Garamond" w:cs="Garamond" w:eastAsia="Garamond" w:hAnsi="Garamond"/>
                <w:sz w:val="40"/>
                <w:szCs w:val="4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40"/>
                <w:szCs w:val="40"/>
                <w:rtl w:val="0"/>
              </w:rPr>
              <w:t xml:space="preserve">19 h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2"/>
                <w:szCs w:val="32"/>
                <w:rtl w:val="0"/>
              </w:rPr>
              <w:t xml:space="preserve">Etude de la signalisation / Tests Code de la route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Garamond" w:cs="Garamond" w:eastAsia="Garamond" w:hAnsi="Garamond"/>
                <w:sz w:val="32"/>
                <w:szCs w:val="3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32"/>
                <w:szCs w:val="32"/>
                <w:rtl w:val="0"/>
              </w:rPr>
              <w:t xml:space="preserve">Thèmes – Produits Psychoactifs / Vitesse</w:t>
            </w:r>
          </w:p>
        </w:tc>
      </w:tr>
    </w:tbl>
    <w:p w:rsidR="00000000" w:rsidDel="00000000" w:rsidP="00000000" w:rsidRDefault="00000000" w:rsidRPr="00000000" w14:paraId="0000003B">
      <w:pPr>
        <w:contextualSpacing w:val="0"/>
        <w:jc w:val="left"/>
        <w:rPr>
          <w:rFonts w:ascii="Garamond" w:cs="Garamond" w:eastAsia="Garamond" w:hAnsi="Garamond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1910" w:w="16840"/>
      <w:pgMar w:bottom="284" w:top="794" w:left="981" w:right="1038" w:header="720" w:footer="78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296.0" w:type="dxa"/>
        <w:left w:w="360.0" w:type="dxa"/>
        <w:bottom w:w="1296.0" w:type="dxa"/>
        <w:right w:w="36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